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46" w:rsidRPr="00C9028A" w:rsidRDefault="00A907B0" w:rsidP="00FE524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9028A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C9028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A3DF4" w:rsidRPr="00C9028A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BB10AE" w:rsidRPr="00C9028A">
        <w:rPr>
          <w:rFonts w:ascii="Times New Roman" w:hAnsi="Times New Roman" w:cs="Times New Roman"/>
          <w:b/>
          <w:sz w:val="24"/>
          <w:szCs w:val="24"/>
        </w:rPr>
        <w:t>промяна</w:t>
      </w:r>
      <w:r w:rsidR="008A3DF4" w:rsidRPr="00C9028A">
        <w:rPr>
          <w:rFonts w:ascii="Times New Roman" w:hAnsi="Times New Roman" w:cs="Times New Roman"/>
          <w:b/>
          <w:sz w:val="24"/>
          <w:szCs w:val="24"/>
        </w:rPr>
        <w:t xml:space="preserve"> на текста на</w:t>
      </w:r>
      <w:r w:rsidR="004352A2" w:rsidRPr="00C902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557F" w:rsidRPr="00C9028A" w:rsidRDefault="00860DFD" w:rsidP="003D55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мярка 14 „</w:t>
      </w:r>
      <w:r w:rsidR="003D557F" w:rsidRPr="00C9028A">
        <w:rPr>
          <w:rFonts w:ascii="Times New Roman" w:hAnsi="Times New Roman" w:cs="Times New Roman"/>
          <w:b/>
          <w:sz w:val="24"/>
          <w:szCs w:val="24"/>
        </w:rPr>
        <w:t>Хуман</w:t>
      </w:r>
      <w:r>
        <w:rPr>
          <w:rFonts w:ascii="Times New Roman" w:hAnsi="Times New Roman" w:cs="Times New Roman"/>
          <w:b/>
          <w:sz w:val="24"/>
          <w:szCs w:val="24"/>
        </w:rPr>
        <w:t>но отношение към животните“</w:t>
      </w:r>
      <w:r w:rsidR="003D557F" w:rsidRPr="00C9028A">
        <w:rPr>
          <w:rFonts w:ascii="Times New Roman" w:hAnsi="Times New Roman" w:cs="Times New Roman"/>
          <w:b/>
          <w:sz w:val="24"/>
          <w:szCs w:val="24"/>
        </w:rPr>
        <w:t xml:space="preserve"> от Програмата за развитие на селските райони за периода 2014 - 2020 г.</w:t>
      </w:r>
    </w:p>
    <w:p w:rsidR="003336D4" w:rsidRPr="00C9028A" w:rsidRDefault="003336D4" w:rsidP="00DD75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36D4" w:rsidRPr="00C9028A" w:rsidRDefault="008A3DF4" w:rsidP="00C9028A">
      <w:pPr>
        <w:pStyle w:val="a4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28A">
        <w:rPr>
          <w:rFonts w:ascii="Times New Roman" w:hAnsi="Times New Roman" w:cs="Times New Roman"/>
          <w:b/>
          <w:sz w:val="24"/>
          <w:szCs w:val="24"/>
        </w:rPr>
        <w:t xml:space="preserve">Управляващият орган </w:t>
      </w:r>
      <w:r w:rsidR="003336D4" w:rsidRPr="00C9028A">
        <w:rPr>
          <w:rFonts w:ascii="Times New Roman" w:hAnsi="Times New Roman" w:cs="Times New Roman"/>
          <w:b/>
          <w:sz w:val="24"/>
          <w:szCs w:val="24"/>
        </w:rPr>
        <w:t xml:space="preserve">предлага </w:t>
      </w:r>
      <w:r w:rsidR="00BC0D6C" w:rsidRPr="00C9028A">
        <w:rPr>
          <w:rFonts w:ascii="Times New Roman" w:hAnsi="Times New Roman" w:cs="Times New Roman"/>
          <w:b/>
          <w:sz w:val="24"/>
          <w:szCs w:val="24"/>
        </w:rPr>
        <w:t xml:space="preserve">да се </w:t>
      </w:r>
      <w:r w:rsidR="00860DFD">
        <w:rPr>
          <w:rFonts w:ascii="Times New Roman" w:hAnsi="Times New Roman" w:cs="Times New Roman"/>
          <w:b/>
          <w:sz w:val="24"/>
          <w:szCs w:val="24"/>
        </w:rPr>
        <w:t>допълни</w:t>
      </w:r>
      <w:r w:rsidR="00F35A75" w:rsidRPr="00C9028A">
        <w:rPr>
          <w:rFonts w:ascii="Times New Roman" w:hAnsi="Times New Roman" w:cs="Times New Roman"/>
          <w:b/>
          <w:sz w:val="24"/>
          <w:szCs w:val="24"/>
        </w:rPr>
        <w:t xml:space="preserve"> текста</w:t>
      </w:r>
      <w:r w:rsidR="00BC0D6C" w:rsidRPr="00C9028A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7C0BE3" w:rsidRPr="00C902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6D4" w:rsidRPr="00C9028A">
        <w:rPr>
          <w:rFonts w:ascii="Times New Roman" w:hAnsi="Times New Roman" w:cs="Times New Roman"/>
          <w:b/>
          <w:sz w:val="24"/>
          <w:szCs w:val="24"/>
        </w:rPr>
        <w:t xml:space="preserve">мярка </w:t>
      </w:r>
      <w:r w:rsidR="00860DFD" w:rsidRPr="00860DFD">
        <w:rPr>
          <w:rFonts w:ascii="Times New Roman" w:hAnsi="Times New Roman" w:cs="Times New Roman"/>
          <w:b/>
          <w:sz w:val="24"/>
          <w:szCs w:val="24"/>
        </w:rPr>
        <w:t>14 „Хуманно отношение към животните“</w:t>
      </w:r>
      <w:r w:rsidR="00860DFD">
        <w:rPr>
          <w:rFonts w:ascii="Times New Roman" w:hAnsi="Times New Roman" w:cs="Times New Roman"/>
          <w:b/>
          <w:sz w:val="24"/>
          <w:szCs w:val="24"/>
        </w:rPr>
        <w:t xml:space="preserve">, поради следните мотиви: </w:t>
      </w:r>
    </w:p>
    <w:p w:rsidR="00860DFD" w:rsidRPr="000B76E8" w:rsidRDefault="00860DFD" w:rsidP="00860D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76E8">
        <w:rPr>
          <w:rFonts w:ascii="Times New Roman" w:hAnsi="Times New Roman" w:cs="Times New Roman"/>
          <w:sz w:val="24"/>
          <w:szCs w:val="24"/>
        </w:rPr>
        <w:t>Извършен е анализ на производствените и пазарни промени за периода 2017-2019 спрямо периода 2011-2013 г., който е използван за изчисляване на компенсаторното плащане в действащия програмен период. В резултат на извършения анализ е направено преизчисляване на компенсаторните плащания по мярка 14 като са отчетени пропуснатите ползи и допълнителните разходи за изпълнение на заложените дейности и изисквания. Референтният период на преизчислението е 2017-2019 г., като констатираните промени в пазарната и производствена среда в този период са съотнесени към периода 2011-2013 г.</w:t>
      </w:r>
    </w:p>
    <w:p w:rsidR="00B721CE" w:rsidRPr="000B76E8" w:rsidRDefault="00B721CE" w:rsidP="00F35A7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76E8">
        <w:rPr>
          <w:rFonts w:ascii="Times New Roman" w:hAnsi="Times New Roman" w:cs="Times New Roman"/>
          <w:sz w:val="24"/>
          <w:szCs w:val="24"/>
        </w:rPr>
        <w:t>Предвид гореизложеното, са предложените</w:t>
      </w:r>
      <w:r w:rsidR="002515EF" w:rsidRPr="000B76E8">
        <w:rPr>
          <w:rFonts w:ascii="Times New Roman" w:hAnsi="Times New Roman" w:cs="Times New Roman"/>
          <w:sz w:val="24"/>
          <w:szCs w:val="24"/>
        </w:rPr>
        <w:t xml:space="preserve"> </w:t>
      </w:r>
      <w:r w:rsidRPr="000B76E8">
        <w:rPr>
          <w:rFonts w:ascii="Times New Roman" w:hAnsi="Times New Roman" w:cs="Times New Roman"/>
          <w:sz w:val="24"/>
          <w:szCs w:val="24"/>
        </w:rPr>
        <w:t xml:space="preserve">промени на текстовете на подмярка 14.1 „Плащания за хуманно отношение към животни в сектор ЕПЖ“ и </w:t>
      </w:r>
      <w:r w:rsidR="000B76E8">
        <w:rPr>
          <w:rFonts w:ascii="Times New Roman" w:hAnsi="Times New Roman" w:cs="Times New Roman"/>
          <w:sz w:val="24"/>
          <w:szCs w:val="24"/>
        </w:rPr>
        <w:t>п</w:t>
      </w:r>
      <w:r w:rsidRPr="000B76E8">
        <w:rPr>
          <w:rFonts w:ascii="Times New Roman" w:hAnsi="Times New Roman" w:cs="Times New Roman"/>
          <w:sz w:val="24"/>
          <w:szCs w:val="24"/>
        </w:rPr>
        <w:t xml:space="preserve">одмярка 14.2 „Плащания за хуманно отношение към животни в сектор ДПЖ“ в т. </w:t>
      </w:r>
      <w:r w:rsidRPr="000B76E8">
        <w:rPr>
          <w:rFonts w:ascii="Times New Roman" w:hAnsi="Times New Roman" w:cs="Times New Roman"/>
          <w:bCs/>
          <w:sz w:val="24"/>
          <w:szCs w:val="24"/>
        </w:rPr>
        <w:t>8.2.13.3.1.8.  и т. 8.2.13.3.2.8. „(Приложими) суми и проценти на предоставяната подкрепа“, при които се посочват нови нива на компенсаторното подпомагане в евро/ЖЕ след 2020 г.</w:t>
      </w:r>
    </w:p>
    <w:p w:rsidR="00B721CE" w:rsidRPr="000B76E8" w:rsidRDefault="00B721CE" w:rsidP="00F35A7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76E8">
        <w:rPr>
          <w:rFonts w:ascii="Times New Roman" w:hAnsi="Times New Roman" w:cs="Times New Roman"/>
          <w:bCs/>
          <w:sz w:val="24"/>
          <w:szCs w:val="24"/>
        </w:rPr>
        <w:t xml:space="preserve">В тази връзка е предложението за допълване на текстовете в т. 8.2.13.3.1.10. и т. 8.2.13.3.2.10. „Специфична информация за операцията“ </w:t>
      </w:r>
      <w:r w:rsidR="0036069A" w:rsidRPr="000B76E8">
        <w:rPr>
          <w:rFonts w:ascii="Times New Roman" w:hAnsi="Times New Roman" w:cs="Times New Roman"/>
          <w:bCs/>
          <w:sz w:val="24"/>
          <w:szCs w:val="24"/>
        </w:rPr>
        <w:t xml:space="preserve">както и текста на т. 8.2.13.5. „Специфична информация за мярката“ </w:t>
      </w:r>
      <w:r w:rsidRPr="000B76E8">
        <w:rPr>
          <w:rFonts w:ascii="Times New Roman" w:hAnsi="Times New Roman" w:cs="Times New Roman"/>
          <w:bCs/>
          <w:sz w:val="24"/>
          <w:szCs w:val="24"/>
        </w:rPr>
        <w:t>по отношение на използваната методологията</w:t>
      </w:r>
      <w:r w:rsidR="0036069A" w:rsidRPr="000B76E8">
        <w:rPr>
          <w:rFonts w:ascii="Times New Roman" w:hAnsi="Times New Roman" w:cs="Times New Roman"/>
          <w:bCs/>
          <w:sz w:val="24"/>
          <w:szCs w:val="24"/>
        </w:rPr>
        <w:t xml:space="preserve"> за компенсаторни изчислени.</w:t>
      </w:r>
      <w:r w:rsidRPr="000B76E8">
        <w:rPr>
          <w:rFonts w:ascii="Times New Roman" w:hAnsi="Times New Roman" w:cs="Times New Roman"/>
          <w:bCs/>
          <w:sz w:val="24"/>
          <w:szCs w:val="24"/>
        </w:rPr>
        <w:t xml:space="preserve"> С предложените </w:t>
      </w:r>
      <w:r w:rsidR="000B76E8">
        <w:rPr>
          <w:rFonts w:ascii="Times New Roman" w:hAnsi="Times New Roman" w:cs="Times New Roman"/>
          <w:bCs/>
          <w:sz w:val="24"/>
          <w:szCs w:val="24"/>
        </w:rPr>
        <w:t>изменения</w:t>
      </w:r>
      <w:r w:rsidRPr="000B76E8">
        <w:rPr>
          <w:rFonts w:ascii="Times New Roman" w:hAnsi="Times New Roman" w:cs="Times New Roman"/>
          <w:bCs/>
          <w:sz w:val="24"/>
          <w:szCs w:val="24"/>
        </w:rPr>
        <w:t xml:space="preserve"> се </w:t>
      </w:r>
      <w:r w:rsidR="000B76E8">
        <w:rPr>
          <w:rFonts w:ascii="Times New Roman" w:hAnsi="Times New Roman" w:cs="Times New Roman"/>
          <w:bCs/>
          <w:sz w:val="24"/>
          <w:szCs w:val="24"/>
        </w:rPr>
        <w:t>допълват текстовете</w:t>
      </w:r>
      <w:r w:rsidR="0036069A" w:rsidRPr="000B76E8">
        <w:rPr>
          <w:rFonts w:ascii="Times New Roman" w:hAnsi="Times New Roman" w:cs="Times New Roman"/>
          <w:bCs/>
          <w:sz w:val="24"/>
          <w:szCs w:val="24"/>
        </w:rPr>
        <w:t xml:space="preserve"> с информация за извършените преизчисления на нивата на компенсаторно подпомагане, както и референтния период, използван за новите изчисления за </w:t>
      </w:r>
      <w:r w:rsidR="0036069A" w:rsidRPr="000B76E8">
        <w:rPr>
          <w:rFonts w:ascii="Times New Roman" w:hAnsi="Times New Roman" w:cs="Times New Roman"/>
          <w:sz w:val="24"/>
          <w:szCs w:val="24"/>
        </w:rPr>
        <w:t>пропуснатите ползи и допълнителните разходи спрямо периода 2011-2013 г.</w:t>
      </w:r>
    </w:p>
    <w:p w:rsidR="00B721CE" w:rsidRDefault="00B721CE" w:rsidP="00F35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5F00" w:rsidRPr="00C9028A" w:rsidRDefault="00475F00" w:rsidP="00475F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75F00" w:rsidRPr="00C9028A" w:rsidRDefault="00475F00" w:rsidP="00475F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75F00" w:rsidRPr="00C9028A" w:rsidRDefault="00475F00" w:rsidP="00475F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  <w:sectPr w:rsidR="00475F00" w:rsidRPr="00C9028A" w:rsidSect="00DA5B13">
          <w:footerReference w:type="default" r:id="rId9"/>
          <w:pgSz w:w="11906" w:h="16838"/>
          <w:pgMar w:top="851" w:right="1417" w:bottom="284" w:left="1417" w:header="142" w:footer="143" w:gutter="0"/>
          <w:cols w:space="708"/>
          <w:docGrid w:linePitch="360"/>
        </w:sectPr>
      </w:pPr>
    </w:p>
    <w:tbl>
      <w:tblPr>
        <w:tblW w:w="0" w:type="auto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2563"/>
        <w:gridCol w:w="5980"/>
        <w:gridCol w:w="5980"/>
      </w:tblGrid>
      <w:tr w:rsidR="000B76E8" w:rsidRPr="00C9028A" w:rsidTr="001C53A3">
        <w:trPr>
          <w:jc w:val="center"/>
        </w:trPr>
        <w:tc>
          <w:tcPr>
            <w:tcW w:w="424" w:type="dxa"/>
            <w:shd w:val="clear" w:color="auto" w:fill="D9D9D9"/>
          </w:tcPr>
          <w:p w:rsidR="001464C8" w:rsidRPr="00C9028A" w:rsidRDefault="001464C8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028A">
              <w:rPr>
                <w:rFonts w:ascii="Times New Roman" w:hAnsi="Times New Roman" w:cs="Times New Roman"/>
                <w:b/>
                <w:bCs/>
              </w:rPr>
              <w:lastRenderedPageBreak/>
              <w:t>№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1464C8" w:rsidRPr="00C9028A" w:rsidRDefault="001464C8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028A">
              <w:rPr>
                <w:rFonts w:ascii="Times New Roman" w:hAnsi="Times New Roman" w:cs="Times New Roman"/>
                <w:b/>
                <w:bCs/>
              </w:rPr>
              <w:t>Част от ПРСР</w:t>
            </w:r>
            <w:r w:rsidR="00677CDC" w:rsidRPr="00C9028A">
              <w:rPr>
                <w:rFonts w:ascii="Times New Roman" w:hAnsi="Times New Roman" w:cs="Times New Roman"/>
                <w:b/>
                <w:bCs/>
              </w:rPr>
              <w:t>,</w:t>
            </w:r>
            <w:r w:rsidRPr="00C9028A">
              <w:rPr>
                <w:rFonts w:ascii="Times New Roman" w:hAnsi="Times New Roman" w:cs="Times New Roman"/>
                <w:b/>
                <w:bCs/>
              </w:rPr>
              <w:t xml:space="preserve"> в която се прави предложение за промяна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1464C8" w:rsidRPr="00C9028A" w:rsidRDefault="001464C8" w:rsidP="003D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028A">
              <w:rPr>
                <w:rFonts w:ascii="Times New Roman" w:hAnsi="Times New Roman" w:cs="Times New Roman"/>
                <w:b/>
                <w:bCs/>
              </w:rPr>
              <w:t>Настоящ текст</w:t>
            </w:r>
            <w:r w:rsidR="003D557F" w:rsidRPr="00C9028A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r w:rsidR="008210F0" w:rsidRPr="00C9028A">
              <w:rPr>
                <w:rFonts w:ascii="Times New Roman" w:hAnsi="Times New Roman" w:cs="Times New Roman"/>
                <w:b/>
                <w:bCs/>
              </w:rPr>
              <w:t xml:space="preserve">мярка </w:t>
            </w:r>
            <w:r w:rsidR="003D557F" w:rsidRPr="00C9028A">
              <w:rPr>
                <w:rFonts w:ascii="Times New Roman" w:hAnsi="Times New Roman" w:cs="Times New Roman"/>
                <w:b/>
                <w:bCs/>
              </w:rPr>
              <w:t>14</w:t>
            </w:r>
            <w:r w:rsidRPr="00C9028A">
              <w:rPr>
                <w:rFonts w:ascii="Times New Roman" w:hAnsi="Times New Roman" w:cs="Times New Roman"/>
                <w:b/>
                <w:bCs/>
              </w:rPr>
              <w:t xml:space="preserve"> в ПРСР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1464C8" w:rsidRPr="00C9028A" w:rsidRDefault="001464C8" w:rsidP="003D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028A">
              <w:rPr>
                <w:rFonts w:ascii="Times New Roman" w:hAnsi="Times New Roman" w:cs="Times New Roman"/>
                <w:b/>
                <w:bCs/>
              </w:rPr>
              <w:t>Предложение за нов текст</w:t>
            </w:r>
            <w:r w:rsidR="008210F0" w:rsidRPr="00C9028A">
              <w:rPr>
                <w:rFonts w:ascii="Times New Roman" w:hAnsi="Times New Roman" w:cs="Times New Roman"/>
                <w:b/>
                <w:bCs/>
              </w:rPr>
              <w:t xml:space="preserve"> в</w:t>
            </w:r>
            <w:r w:rsidR="003D557F" w:rsidRPr="00C9028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210F0" w:rsidRPr="00C9028A">
              <w:rPr>
                <w:rFonts w:ascii="Times New Roman" w:hAnsi="Times New Roman" w:cs="Times New Roman"/>
                <w:b/>
                <w:bCs/>
              </w:rPr>
              <w:t xml:space="preserve">мярка </w:t>
            </w:r>
            <w:r w:rsidR="003D557F" w:rsidRPr="00C9028A">
              <w:rPr>
                <w:rFonts w:ascii="Times New Roman" w:hAnsi="Times New Roman" w:cs="Times New Roman"/>
                <w:b/>
                <w:bCs/>
              </w:rPr>
              <w:t>14</w:t>
            </w:r>
            <w:r w:rsidR="008210F0" w:rsidRPr="00C9028A">
              <w:rPr>
                <w:rFonts w:ascii="Times New Roman" w:hAnsi="Times New Roman" w:cs="Times New Roman"/>
                <w:b/>
                <w:bCs/>
              </w:rPr>
              <w:t xml:space="preserve"> от</w:t>
            </w:r>
            <w:r w:rsidRPr="00C9028A">
              <w:rPr>
                <w:rFonts w:ascii="Times New Roman" w:hAnsi="Times New Roman" w:cs="Times New Roman"/>
                <w:b/>
                <w:bCs/>
              </w:rPr>
              <w:t xml:space="preserve"> ПРСР</w:t>
            </w:r>
          </w:p>
        </w:tc>
      </w:tr>
      <w:tr w:rsidR="000B76E8" w:rsidRPr="00C9028A" w:rsidTr="001C53A3">
        <w:trPr>
          <w:trHeight w:val="589"/>
          <w:jc w:val="center"/>
        </w:trPr>
        <w:tc>
          <w:tcPr>
            <w:tcW w:w="4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464C8" w:rsidRPr="00C9028A" w:rsidRDefault="001464C8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464C8" w:rsidRPr="00C9028A" w:rsidRDefault="001464C8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028A">
              <w:rPr>
                <w:rFonts w:ascii="Times New Roman" w:hAnsi="Times New Roman" w:cs="Times New Roman"/>
                <w:b/>
              </w:rPr>
              <w:t xml:space="preserve">Мярка </w:t>
            </w:r>
            <w:r w:rsidR="0031160C" w:rsidRPr="00C9028A">
              <w:rPr>
                <w:rFonts w:ascii="Times New Roman" w:hAnsi="Times New Roman" w:cs="Times New Roman"/>
                <w:b/>
              </w:rPr>
              <w:t>14 „Хуманно отношение към животните“</w:t>
            </w:r>
            <w:r w:rsidRPr="00C9028A">
              <w:rPr>
                <w:rFonts w:ascii="Times New Roman" w:hAnsi="Times New Roman" w:cs="Times New Roman"/>
                <w:b/>
              </w:rPr>
              <w:t>,</w:t>
            </w:r>
          </w:p>
          <w:p w:rsidR="001464C8" w:rsidRPr="00C9028A" w:rsidRDefault="001464C8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028A">
              <w:rPr>
                <w:rFonts w:ascii="Times New Roman" w:hAnsi="Times New Roman" w:cs="Times New Roman"/>
                <w:b/>
              </w:rPr>
              <w:t xml:space="preserve">Подмярка </w:t>
            </w:r>
            <w:r w:rsidR="0031160C" w:rsidRPr="00C9028A">
              <w:rPr>
                <w:rFonts w:ascii="Times New Roman" w:hAnsi="Times New Roman" w:cs="Times New Roman"/>
                <w:b/>
              </w:rPr>
              <w:t>14.1 „Плащания за хуманно отношение към животни в сектор ЕПЖ“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1464C8" w:rsidRPr="00C9028A" w:rsidRDefault="001464C8" w:rsidP="00EA39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1464C8" w:rsidRPr="00C9028A" w:rsidRDefault="001464C8" w:rsidP="00EA39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B76E8" w:rsidRPr="00C9028A" w:rsidTr="001C53A3">
        <w:trPr>
          <w:trHeight w:val="223"/>
          <w:jc w:val="center"/>
        </w:trPr>
        <w:tc>
          <w:tcPr>
            <w:tcW w:w="424" w:type="dxa"/>
            <w:shd w:val="clear" w:color="auto" w:fill="auto"/>
            <w:vAlign w:val="center"/>
          </w:tcPr>
          <w:p w:rsidR="00834550" w:rsidRPr="00C9028A" w:rsidRDefault="00834550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 xml:space="preserve">1.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34550" w:rsidRPr="00C9028A" w:rsidRDefault="0031160C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C9028A">
              <w:rPr>
                <w:rFonts w:ascii="Times New Roman" w:hAnsi="Times New Roman" w:cs="Times New Roman"/>
                <w:bCs/>
              </w:rPr>
              <w:t>8.2.13.3.1.8. „(Приложими) суми и проценти на предоставяната подкрепа“</w:t>
            </w:r>
          </w:p>
        </w:tc>
        <w:tc>
          <w:tcPr>
            <w:tcW w:w="0" w:type="auto"/>
            <w:shd w:val="clear" w:color="auto" w:fill="auto"/>
          </w:tcPr>
          <w:p w:rsidR="0031160C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14.1.1 Осигуряване на свободна подова площ не по-малко от 10 % над задължителния стандарт:</w:t>
            </w:r>
          </w:p>
          <w:p w:rsidR="0031160C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•</w:t>
            </w:r>
            <w:r w:rsidRPr="00C9028A">
              <w:rPr>
                <w:rFonts w:ascii="Times New Roman" w:hAnsi="Times New Roman" w:cs="Times New Roman"/>
                <w:bCs/>
              </w:rPr>
              <w:tab/>
              <w:t>За телета в евро/ЖЕ - 27,46 евро;</w:t>
            </w:r>
          </w:p>
          <w:p w:rsidR="0031160C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•</w:t>
            </w:r>
            <w:r w:rsidRPr="00C9028A">
              <w:rPr>
                <w:rFonts w:ascii="Times New Roman" w:hAnsi="Times New Roman" w:cs="Times New Roman"/>
                <w:bCs/>
              </w:rPr>
              <w:tab/>
              <w:t>За крави и биволици над 24 месечна възраст в евро/ЖЕ - 42.71 евро.</w:t>
            </w:r>
          </w:p>
          <w:p w:rsidR="00834550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14.1.2 Осигуряване на свободно отглеждане на открито на преживни животни в евро/ЖЕ- 24,54 евро.</w:t>
            </w:r>
          </w:p>
        </w:tc>
        <w:tc>
          <w:tcPr>
            <w:tcW w:w="0" w:type="auto"/>
            <w:shd w:val="clear" w:color="auto" w:fill="auto"/>
          </w:tcPr>
          <w:p w:rsidR="0031160C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14.1.1 Осигуряване на свободна подова площ не по-малко от 10 % над задължителния стандарт:</w:t>
            </w:r>
          </w:p>
          <w:p w:rsidR="0031160C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•</w:t>
            </w:r>
            <w:r w:rsidRPr="00C9028A">
              <w:rPr>
                <w:rFonts w:ascii="Times New Roman" w:hAnsi="Times New Roman" w:cs="Times New Roman"/>
                <w:bCs/>
              </w:rPr>
              <w:tab/>
              <w:t>За телета в евро/ЖЕ - 27,46 евро;</w:t>
            </w:r>
            <w:r w:rsidR="00375CC7" w:rsidRPr="00C9028A">
              <w:rPr>
                <w:rFonts w:ascii="Times New Roman" w:hAnsi="Times New Roman" w:cs="Times New Roman"/>
                <w:bCs/>
              </w:rPr>
              <w:t xml:space="preserve"> </w:t>
            </w:r>
            <w:r w:rsidR="00375CC7" w:rsidRPr="00C9028A">
              <w:rPr>
                <w:rFonts w:ascii="Times New Roman" w:hAnsi="Times New Roman" w:cs="Times New Roman"/>
                <w:bCs/>
                <w:color w:val="FF0000"/>
              </w:rPr>
              <w:t xml:space="preserve">След 2020 г. </w:t>
            </w:r>
            <w:r w:rsidR="00E20BCE" w:rsidRPr="00C9028A">
              <w:rPr>
                <w:rFonts w:ascii="Times New Roman" w:hAnsi="Times New Roman" w:cs="Times New Roman"/>
                <w:bCs/>
                <w:color w:val="FF0000"/>
              </w:rPr>
              <w:t xml:space="preserve">евро/ЖЕ </w:t>
            </w:r>
            <w:r w:rsidR="00375CC7" w:rsidRPr="00C9028A">
              <w:rPr>
                <w:rFonts w:ascii="Times New Roman" w:hAnsi="Times New Roman" w:cs="Times New Roman"/>
                <w:bCs/>
                <w:color w:val="FF0000"/>
              </w:rPr>
              <w:t>- 39,72 евро;</w:t>
            </w:r>
          </w:p>
          <w:p w:rsidR="0031160C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•</w:t>
            </w:r>
            <w:r w:rsidRPr="00C9028A">
              <w:rPr>
                <w:rFonts w:ascii="Times New Roman" w:hAnsi="Times New Roman" w:cs="Times New Roman"/>
                <w:bCs/>
              </w:rPr>
              <w:tab/>
              <w:t>За крави и биволици над 24 месечна възраст в евро/ЖЕ - 42.71 евро.</w:t>
            </w:r>
            <w:r w:rsidR="00375CC7" w:rsidRPr="00C9028A">
              <w:rPr>
                <w:rFonts w:ascii="Times New Roman" w:hAnsi="Times New Roman" w:cs="Times New Roman"/>
                <w:bCs/>
              </w:rPr>
              <w:t xml:space="preserve"> </w:t>
            </w:r>
            <w:r w:rsidR="00375CC7" w:rsidRPr="00C9028A">
              <w:rPr>
                <w:rFonts w:ascii="Times New Roman" w:hAnsi="Times New Roman" w:cs="Times New Roman"/>
                <w:bCs/>
                <w:color w:val="FF0000"/>
              </w:rPr>
              <w:t xml:space="preserve">След 2020 г. </w:t>
            </w:r>
            <w:r w:rsidR="00E20BCE" w:rsidRPr="00C9028A">
              <w:rPr>
                <w:rFonts w:ascii="Times New Roman" w:hAnsi="Times New Roman" w:cs="Times New Roman"/>
                <w:bCs/>
                <w:color w:val="FF0000"/>
              </w:rPr>
              <w:t xml:space="preserve">евро/ЖЕ </w:t>
            </w:r>
            <w:r w:rsidR="00375CC7" w:rsidRPr="00C9028A">
              <w:rPr>
                <w:rFonts w:ascii="Times New Roman" w:hAnsi="Times New Roman" w:cs="Times New Roman"/>
                <w:bCs/>
                <w:color w:val="FF0000"/>
              </w:rPr>
              <w:t>- 66,21 евро.</w:t>
            </w:r>
          </w:p>
          <w:p w:rsidR="00834550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14.1.2 Осигуряване на свободно отглеждане на открито на преживни животни в евро/ЖЕ- 24,54 евро.</w:t>
            </w:r>
            <w:r w:rsidR="00375CC7" w:rsidRPr="00C9028A">
              <w:rPr>
                <w:rFonts w:ascii="Times New Roman" w:hAnsi="Times New Roman" w:cs="Times New Roman"/>
                <w:bCs/>
              </w:rPr>
              <w:t xml:space="preserve"> </w:t>
            </w:r>
            <w:r w:rsidR="00375CC7" w:rsidRPr="00C9028A">
              <w:rPr>
                <w:rFonts w:ascii="Times New Roman" w:hAnsi="Times New Roman" w:cs="Times New Roman"/>
                <w:bCs/>
                <w:color w:val="FF0000"/>
              </w:rPr>
              <w:t xml:space="preserve">След 2020 г. </w:t>
            </w:r>
            <w:r w:rsidR="00E20BCE" w:rsidRPr="00C9028A">
              <w:rPr>
                <w:rFonts w:ascii="Times New Roman" w:hAnsi="Times New Roman" w:cs="Times New Roman"/>
                <w:bCs/>
                <w:color w:val="FF0000"/>
              </w:rPr>
              <w:t xml:space="preserve">евро/ЖЕ </w:t>
            </w:r>
            <w:r w:rsidR="00375CC7" w:rsidRPr="00C9028A">
              <w:rPr>
                <w:rFonts w:ascii="Times New Roman" w:hAnsi="Times New Roman" w:cs="Times New Roman"/>
                <w:bCs/>
                <w:color w:val="FF0000"/>
              </w:rPr>
              <w:t xml:space="preserve">- </w:t>
            </w:r>
            <w:r w:rsidR="00BE28A5" w:rsidRPr="00BE28A5">
              <w:rPr>
                <w:rFonts w:ascii="Times New Roman" w:hAnsi="Times New Roman" w:cs="Times New Roman"/>
                <w:bCs/>
                <w:color w:val="FF0000"/>
              </w:rPr>
              <w:t>24,70</w:t>
            </w:r>
            <w:r w:rsidR="00BE28A5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="00375CC7" w:rsidRPr="00C9028A">
              <w:rPr>
                <w:rFonts w:ascii="Times New Roman" w:hAnsi="Times New Roman" w:cs="Times New Roman"/>
                <w:bCs/>
                <w:color w:val="FF0000"/>
              </w:rPr>
              <w:t>евро.</w:t>
            </w:r>
          </w:p>
          <w:p w:rsidR="0031160C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B76E8" w:rsidRPr="00C9028A" w:rsidTr="001C53A3">
        <w:trPr>
          <w:trHeight w:val="223"/>
          <w:jc w:val="center"/>
        </w:trPr>
        <w:tc>
          <w:tcPr>
            <w:tcW w:w="424" w:type="dxa"/>
            <w:shd w:val="clear" w:color="auto" w:fill="auto"/>
            <w:vAlign w:val="center"/>
          </w:tcPr>
          <w:p w:rsidR="0031160C" w:rsidRPr="00C9028A" w:rsidRDefault="001C53A3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1160C" w:rsidRPr="00C9028A" w:rsidRDefault="001C53A3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C9028A">
              <w:rPr>
                <w:rFonts w:ascii="Times New Roman" w:hAnsi="Times New Roman" w:cs="Times New Roman"/>
                <w:bCs/>
              </w:rPr>
              <w:t>8.2.13.3.1.10. „Специфична информация за операцията“</w:t>
            </w:r>
          </w:p>
        </w:tc>
        <w:tc>
          <w:tcPr>
            <w:tcW w:w="0" w:type="auto"/>
            <w:shd w:val="clear" w:color="auto" w:fill="auto"/>
          </w:tcPr>
          <w:p w:rsidR="001C53A3" w:rsidRPr="00C9028A" w:rsidRDefault="001C53A3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Компенсаторните разчети за групата на ЕПЖ са определени като резултат от нарастване на разходите и пропуснатите ползи. Предвидените дейности включват: осигуряване на свободно подова площ и отглеждане на открито.</w:t>
            </w:r>
          </w:p>
          <w:p w:rsidR="001C53A3" w:rsidRPr="00C9028A" w:rsidRDefault="001C53A3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За дейността осигуряване на свободна подова площ от 10% над минималните изисквания е направено изчисление за пропуснатите ползи и респективно приходи от намалението на животните с 10% и оттам за необходимата компенсация върху останалите животни.</w:t>
            </w:r>
          </w:p>
          <w:p w:rsidR="001C53A3" w:rsidRPr="00C9028A" w:rsidRDefault="001C53A3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 xml:space="preserve">Изчисленията са правени на база единица животно от ЕПЖ, като продукцията от него на годишна основа е умножено по цената. Извършена е корекция със спестените разходи за единица животно, включващи разходите по изхранването и медицинското обслужване на животните. Предвижданията за пропуснатите приходи и прилежащите разходи са базирани на данни от Агростатистика на МЗХГ, Системата за счетоводна и земеделска информация, НСИ по отношение на цените през референтния период 2011-2013 и изчисления по проекта САРА и експертни проучвания сред </w:t>
            </w:r>
            <w:r w:rsidRPr="00C9028A">
              <w:rPr>
                <w:rFonts w:ascii="Times New Roman" w:hAnsi="Times New Roman" w:cs="Times New Roman"/>
                <w:bCs/>
              </w:rPr>
              <w:lastRenderedPageBreak/>
              <w:t>представителни стопанства. Преки и инвестиционни разходи не са предвидени, като са включени само променливите разходи участващи при изчисляването на брутните маржове.</w:t>
            </w:r>
          </w:p>
          <w:p w:rsidR="001C53A3" w:rsidRPr="00C9028A" w:rsidRDefault="001C53A3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 xml:space="preserve">Осигуряване на свободно отглеждане на открито на говеда предвижда увеличаване на по-голям брой дни годишно за пасищно отглеждане на животните. Броят на тези дни при отделните подсектори е 20. Изчисляването на пропуснатите ползи предполага калкулирането на намаления млеконадой при животните, които се изчислява на основата на експертни оценки и наблюдения в представителни стопанства и научни разработки по темата. При пасищното отглеждане се установяват и по-високи разходи за труд в сравнение с оборното, като допълнителните разходи се прибавят в премийното уравнение. </w:t>
            </w:r>
          </w:p>
          <w:p w:rsidR="0031160C" w:rsidRPr="00C9028A" w:rsidRDefault="0031160C" w:rsidP="00BC0D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:rsidR="001C53A3" w:rsidRPr="00C9028A" w:rsidRDefault="001C53A3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lastRenderedPageBreak/>
              <w:t>Компенсаторните разчети за групата на ЕПЖ са определени като резултат от нарастване на разходите и пропуснатите ползи. Предвидените дейности включват: осигуряване на свободно подова площ и отглеждане на открито.</w:t>
            </w:r>
          </w:p>
          <w:p w:rsidR="001C53A3" w:rsidRPr="00C9028A" w:rsidRDefault="001C53A3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За дейността осигуряване на свободна подова площ от 10% над минималните изисквания е направено изчисление за пропуснатите ползи и респективно приходи от намалението на животните с 10% и оттам за необходимата компенсация върху останалите животни.</w:t>
            </w:r>
          </w:p>
          <w:p w:rsidR="001C53A3" w:rsidRPr="00C9028A" w:rsidRDefault="001C53A3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Изчисленията са правени на база единица животно от ЕПЖ, като продукцията от него на годишна основа е умножено по цената. Извършена е корекция със спестените разходи за единица животно, включващи разходите по изхранването и медицинското обслужване на животните. Предвижданията за пропуснатите приходи и прилежащите разходи са базирани на данни от Агростатистика на МЗХГ, Системата за счетоводна и земеделска информация, НСИ по отношение на цените през референтния период 2011-2013</w:t>
            </w:r>
            <w:r w:rsidR="00211EE9" w:rsidRPr="00C9028A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C9028A">
              <w:rPr>
                <w:rFonts w:ascii="Times New Roman" w:hAnsi="Times New Roman" w:cs="Times New Roman"/>
                <w:bCs/>
              </w:rPr>
              <w:t xml:space="preserve">и изчисления по проекта САРА и експертни проучвания сред </w:t>
            </w:r>
            <w:r w:rsidRPr="00C9028A">
              <w:rPr>
                <w:rFonts w:ascii="Times New Roman" w:hAnsi="Times New Roman" w:cs="Times New Roman"/>
                <w:bCs/>
              </w:rPr>
              <w:lastRenderedPageBreak/>
              <w:t xml:space="preserve">представителни стопанства. </w:t>
            </w:r>
            <w:r w:rsidR="00E63197" w:rsidRPr="00E63197">
              <w:rPr>
                <w:rFonts w:ascii="Times New Roman" w:hAnsi="Times New Roman" w:cs="Times New Roman"/>
                <w:bCs/>
                <w:color w:val="FF0000"/>
              </w:rPr>
              <w:t xml:space="preserve">Извършено е преизчисление на </w:t>
            </w:r>
            <w:r w:rsidR="0099406E">
              <w:rPr>
                <w:rFonts w:ascii="Times New Roman" w:hAnsi="Times New Roman" w:cs="Times New Roman"/>
                <w:bCs/>
                <w:color w:val="FF0000"/>
              </w:rPr>
              <w:t>компенсаторните разчети</w:t>
            </w:r>
            <w:r w:rsidR="00E63197" w:rsidRPr="00E63197">
              <w:rPr>
                <w:rFonts w:ascii="Times New Roman" w:hAnsi="Times New Roman" w:cs="Times New Roman"/>
                <w:bCs/>
                <w:color w:val="FF0000"/>
              </w:rPr>
              <w:t xml:space="preserve"> с референтен период 2017-2019 г., при което констатираните промени в пазарната и производствена среда в този период са съотнесени към периода 2011-2013 г.</w:t>
            </w:r>
            <w:r w:rsidR="00211EE9" w:rsidRPr="00C9028A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C9028A">
              <w:rPr>
                <w:rFonts w:ascii="Times New Roman" w:hAnsi="Times New Roman" w:cs="Times New Roman"/>
                <w:bCs/>
              </w:rPr>
              <w:t>Преки и инвестиционни разходи не са предвидени, като са включени само променливите разходи участващи при изчисляването на брутните маржове.</w:t>
            </w:r>
          </w:p>
          <w:p w:rsidR="001C53A3" w:rsidRPr="00C9028A" w:rsidRDefault="001C53A3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 xml:space="preserve">Осигуряване на свободно отглеждане на открито на говеда предвижда увеличаване на по-голям брой дни годишно за пасищно отглеждане на животните. Броят на тези дни при отделните подсектори е 20. Изчисляването на пропуснатите ползи предполага калкулирането на намаления млеконадой при животните, които се изчислява на основата на експертни оценки и наблюдения в представителни стопанства и научни разработки по темата. При пасищното отглеждане се установяват и по-високи разходи за труд в сравнение с оборното, като допълнителните разходи се прибавят в премийното уравнение. </w:t>
            </w:r>
          </w:p>
          <w:p w:rsidR="0031160C" w:rsidRPr="00C9028A" w:rsidRDefault="0031160C" w:rsidP="00E35D69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FF0000"/>
              </w:rPr>
            </w:pPr>
          </w:p>
        </w:tc>
      </w:tr>
      <w:tr w:rsidR="000B76E8" w:rsidRPr="00C9028A" w:rsidTr="001C53A3">
        <w:trPr>
          <w:trHeight w:val="589"/>
          <w:jc w:val="center"/>
        </w:trPr>
        <w:tc>
          <w:tcPr>
            <w:tcW w:w="4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160C" w:rsidRPr="00C9028A" w:rsidRDefault="0031160C" w:rsidP="00B431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1160C" w:rsidRPr="00C9028A" w:rsidRDefault="0031160C" w:rsidP="00B43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028A">
              <w:rPr>
                <w:rFonts w:ascii="Times New Roman" w:hAnsi="Times New Roman" w:cs="Times New Roman"/>
                <w:b/>
              </w:rPr>
              <w:t>Мярка 14 „Хуманно отношение към животните“,</w:t>
            </w:r>
          </w:p>
          <w:p w:rsidR="0031160C" w:rsidRPr="00C9028A" w:rsidRDefault="0031160C" w:rsidP="00B43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028A">
              <w:rPr>
                <w:rFonts w:ascii="Times New Roman" w:hAnsi="Times New Roman" w:cs="Times New Roman"/>
                <w:b/>
              </w:rPr>
              <w:t>Подмярка 14.2 „Плащания за хуманно отношение към животни в сектор ДПЖ“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31160C" w:rsidRPr="00C9028A" w:rsidRDefault="0031160C" w:rsidP="00B431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31160C" w:rsidRPr="00C9028A" w:rsidRDefault="0031160C" w:rsidP="00B431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B76E8" w:rsidRPr="00C9028A" w:rsidTr="001C53A3">
        <w:trPr>
          <w:trHeight w:val="223"/>
          <w:jc w:val="center"/>
        </w:trPr>
        <w:tc>
          <w:tcPr>
            <w:tcW w:w="424" w:type="dxa"/>
            <w:shd w:val="clear" w:color="auto" w:fill="auto"/>
            <w:vAlign w:val="center"/>
          </w:tcPr>
          <w:p w:rsidR="001464C8" w:rsidRPr="00C9028A" w:rsidRDefault="001C53A3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3</w:t>
            </w:r>
            <w:r w:rsidR="001464C8" w:rsidRPr="00C9028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210F0" w:rsidRPr="00C9028A" w:rsidRDefault="0031160C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C9028A">
              <w:rPr>
                <w:rFonts w:ascii="Times New Roman" w:hAnsi="Times New Roman" w:cs="Times New Roman"/>
                <w:bCs/>
              </w:rPr>
              <w:t>8.2.13.3.2.8. „(Приложими) суми и проценти на предоставяната подкрепа“</w:t>
            </w:r>
          </w:p>
        </w:tc>
        <w:tc>
          <w:tcPr>
            <w:tcW w:w="0" w:type="auto"/>
            <w:shd w:val="clear" w:color="auto" w:fill="auto"/>
          </w:tcPr>
          <w:p w:rsidR="0031160C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14.2.1 Осигуряване на свободно отглеждане на открито на преживни животни в евро/ЖЕ-22,50 евро.</w:t>
            </w:r>
          </w:p>
          <w:p w:rsidR="001464C8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14.2.2 Осигуряване на свободна подова площ не по-малко от 10% над задължителния стандарт в евро/ЖЕ-44,40 евро;</w:t>
            </w:r>
          </w:p>
        </w:tc>
        <w:tc>
          <w:tcPr>
            <w:tcW w:w="0" w:type="auto"/>
            <w:shd w:val="clear" w:color="auto" w:fill="auto"/>
          </w:tcPr>
          <w:p w:rsidR="001C53A3" w:rsidRPr="00C9028A" w:rsidRDefault="001C53A3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C9028A">
              <w:rPr>
                <w:rFonts w:ascii="Times New Roman" w:hAnsi="Times New Roman" w:cs="Times New Roman"/>
                <w:bCs/>
              </w:rPr>
              <w:t>14.2.1 Осигуряване на свободно отглеждане на открито на преживни животни в евро/ЖЕ-22,50 евро.</w:t>
            </w:r>
            <w:r w:rsidR="00C9028A" w:rsidRPr="00C9028A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="00C9028A" w:rsidRPr="00C9028A">
              <w:rPr>
                <w:rFonts w:ascii="Times New Roman" w:hAnsi="Times New Roman" w:cs="Times New Roman"/>
                <w:bCs/>
                <w:color w:val="FF0000"/>
              </w:rPr>
              <w:t xml:space="preserve">След 2020 г. евро/ЖЕ </w:t>
            </w:r>
            <w:r w:rsidR="00E63197">
              <w:rPr>
                <w:rFonts w:ascii="Times New Roman" w:hAnsi="Times New Roman" w:cs="Times New Roman"/>
                <w:bCs/>
                <w:color w:val="FF0000"/>
              </w:rPr>
              <w:t>– 28 евро.</w:t>
            </w:r>
          </w:p>
          <w:p w:rsidR="001464C8" w:rsidRPr="00C9028A" w:rsidRDefault="001C53A3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FF0000"/>
                <w:lang w:val="en-US"/>
              </w:rPr>
            </w:pPr>
            <w:r w:rsidRPr="00C9028A">
              <w:rPr>
                <w:rFonts w:ascii="Times New Roman" w:hAnsi="Times New Roman" w:cs="Times New Roman"/>
                <w:bCs/>
              </w:rPr>
              <w:t>14.2.2 Осигуряване на свободна подова площ не по-малко от 10% над задължителния стандарт в евро/ЖЕ-44,40 евро;</w:t>
            </w:r>
            <w:r w:rsidR="00C9028A" w:rsidRPr="00C9028A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="00C9028A" w:rsidRPr="00C9028A">
              <w:rPr>
                <w:rFonts w:ascii="Times New Roman" w:hAnsi="Times New Roman" w:cs="Times New Roman"/>
                <w:bCs/>
                <w:color w:val="FF0000"/>
              </w:rPr>
              <w:t xml:space="preserve">След 2020 г. евро/ЖЕ </w:t>
            </w:r>
            <w:r w:rsidR="00E63197">
              <w:rPr>
                <w:rFonts w:ascii="Times New Roman" w:hAnsi="Times New Roman" w:cs="Times New Roman"/>
                <w:bCs/>
                <w:color w:val="FF0000"/>
              </w:rPr>
              <w:t>– 47.86 евро.</w:t>
            </w:r>
          </w:p>
        </w:tc>
      </w:tr>
      <w:tr w:rsidR="00211EE9" w:rsidRPr="00C9028A" w:rsidTr="001C53A3">
        <w:trPr>
          <w:trHeight w:val="223"/>
          <w:jc w:val="center"/>
        </w:trPr>
        <w:tc>
          <w:tcPr>
            <w:tcW w:w="424" w:type="dxa"/>
            <w:shd w:val="clear" w:color="auto" w:fill="auto"/>
            <w:vAlign w:val="center"/>
          </w:tcPr>
          <w:p w:rsidR="00211EE9" w:rsidRPr="00C9028A" w:rsidRDefault="00211EE9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11EE9" w:rsidRPr="00C9028A" w:rsidRDefault="00211EE9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8.2.13.3.2.10. „Специфична информация за операцията“</w:t>
            </w:r>
          </w:p>
        </w:tc>
        <w:tc>
          <w:tcPr>
            <w:tcW w:w="0" w:type="auto"/>
            <w:shd w:val="clear" w:color="auto" w:fill="auto"/>
          </w:tcPr>
          <w:p w:rsidR="00211EE9" w:rsidRPr="00C9028A" w:rsidRDefault="00211EE9" w:rsidP="00211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 xml:space="preserve">Компенсаторните разчети за овце и кози са определени като резултат от нарастване на разходите и пропуснатите ползи. Предвидените дейности за този подсектор включват: осигуряване на свободно подова площ и отглеждане на открито. При изчисленията са взети предвид традиционните практики на отглеждане на такива животни в страната, като продуктивността, изкупните цени на продукцията, начина на </w:t>
            </w:r>
            <w:r w:rsidRPr="00C9028A">
              <w:rPr>
                <w:rFonts w:ascii="Times New Roman" w:hAnsi="Times New Roman" w:cs="Times New Roman"/>
                <w:bCs/>
              </w:rPr>
              <w:lastRenderedPageBreak/>
              <w:t>отглеждане и другите изходни параметри са осреднени за референтния период 2011-2013 година.</w:t>
            </w:r>
          </w:p>
          <w:p w:rsidR="00211EE9" w:rsidRPr="00C9028A" w:rsidRDefault="00211EE9" w:rsidP="00211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За дейността осигуряване на свободна подова площ от 10% над минималните изисквания е направено изчисление за пропуснатите ползи и респективно приходи от намалението на животните с 10% и оттам за необходимата компенсация върху останалите животни.</w:t>
            </w:r>
          </w:p>
          <w:p w:rsidR="00211EE9" w:rsidRPr="00C9028A" w:rsidRDefault="00211EE9" w:rsidP="00211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 xml:space="preserve">Осигуряване на свободно отглеждане на открито предвижда увеличаване на по-голям брой дни годишно за пасищно отглеждане на животните. Броят на тези дни при отделните подсектори е 20. Изчисляването на пропуснатите ползи предполага калкулирането на намаления млеконадой при животните, които се изчислява на около 15% на дневна база при пасищното отглеждане в сравнение с оборното и пресмятането на увеличените разходи. В премийното изчисление са отразени и нарасналите разходи за труд при пасишно отглеждане в сравнение с оборното, които същ са инкорпорирани.  </w:t>
            </w:r>
          </w:p>
          <w:p w:rsidR="00211EE9" w:rsidRPr="00C9028A" w:rsidRDefault="00211EE9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:rsidR="00211EE9" w:rsidRPr="00C9028A" w:rsidRDefault="00211EE9" w:rsidP="00211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lastRenderedPageBreak/>
              <w:t xml:space="preserve">Компенсаторните разчети за овце и кози са определени като резултат от нарастване на разходите и пропуснатите ползи. Предвидените дейности за този подсектор включват: осигуряване на свободно подова площ и отглеждане на открито. При изчисленията са взети предвид традиционните практики на отглеждане на такива животни в страната, като продуктивността, изкупните цени на продукцията, начина на </w:t>
            </w:r>
            <w:r w:rsidRPr="00C9028A">
              <w:rPr>
                <w:rFonts w:ascii="Times New Roman" w:hAnsi="Times New Roman" w:cs="Times New Roman"/>
                <w:bCs/>
              </w:rPr>
              <w:lastRenderedPageBreak/>
              <w:t>отглеждане и другите изходни параметри са осреднени за референтния период 2011-2013 година.</w:t>
            </w:r>
            <w:r w:rsidRPr="00C9028A">
              <w:rPr>
                <w:rFonts w:ascii="Times New Roman" w:hAnsi="Times New Roman" w:cs="Times New Roman"/>
              </w:rPr>
              <w:t xml:space="preserve"> </w:t>
            </w:r>
            <w:r w:rsidR="000B76E8" w:rsidRPr="000B76E8">
              <w:rPr>
                <w:rFonts w:ascii="Times New Roman" w:hAnsi="Times New Roman" w:cs="Times New Roman"/>
                <w:bCs/>
                <w:color w:val="FF0000"/>
              </w:rPr>
              <w:t xml:space="preserve">Извършено е преизчисление на </w:t>
            </w:r>
            <w:r w:rsidR="0099406E">
              <w:rPr>
                <w:rFonts w:ascii="Times New Roman" w:hAnsi="Times New Roman" w:cs="Times New Roman"/>
                <w:bCs/>
                <w:color w:val="FF0000"/>
              </w:rPr>
              <w:t>компенсаторните разчети</w:t>
            </w:r>
            <w:r w:rsidR="000B76E8" w:rsidRPr="000B76E8">
              <w:rPr>
                <w:rFonts w:ascii="Times New Roman" w:hAnsi="Times New Roman" w:cs="Times New Roman"/>
                <w:bCs/>
                <w:color w:val="FF0000"/>
              </w:rPr>
              <w:t xml:space="preserve"> с референтен</w:t>
            </w:r>
            <w:r w:rsidR="000B76E8">
              <w:rPr>
                <w:rFonts w:ascii="Times New Roman" w:hAnsi="Times New Roman" w:cs="Times New Roman"/>
                <w:bCs/>
                <w:color w:val="FF0000"/>
              </w:rPr>
              <w:t xml:space="preserve"> период </w:t>
            </w:r>
            <w:r w:rsidR="000B76E8" w:rsidRPr="000B76E8">
              <w:rPr>
                <w:rFonts w:ascii="Times New Roman" w:hAnsi="Times New Roman" w:cs="Times New Roman"/>
                <w:bCs/>
                <w:color w:val="FF0000"/>
              </w:rPr>
              <w:t>2017-2019 г., при което констатираните промени в пазарната и производствена среда в този период са съотнесени към периода 2011-2013 г</w:t>
            </w:r>
            <w:r w:rsidR="000B76E8" w:rsidRPr="00C9028A">
              <w:rPr>
                <w:rFonts w:ascii="Times New Roman" w:hAnsi="Times New Roman" w:cs="Times New Roman"/>
                <w:bCs/>
                <w:color w:val="FF0000"/>
              </w:rPr>
              <w:t>.</w:t>
            </w:r>
          </w:p>
          <w:p w:rsidR="00211EE9" w:rsidRPr="00C9028A" w:rsidRDefault="00211EE9" w:rsidP="00211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За дейността осигуряване на свободна подова площ от 10% над минималните изисквания е направено изчисление за пропуснатите ползи и респективно приходи от намалението на животните с 10% и оттам за необходимата компенсация върху останалите животни.</w:t>
            </w:r>
          </w:p>
          <w:p w:rsidR="00211EE9" w:rsidRPr="00C9028A" w:rsidRDefault="00211EE9" w:rsidP="00211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 xml:space="preserve">Осигуряване на свободно отглеждане на открито предвижда увеличаване на по-голям брой дни годишно за пасищно отглеждане на животните. Броят на тези дни при отделните подсектори е 20. Изчисляването на пропуснатите ползи предполага калкулирането на намаления млеконадой при животните, които се изчислява на около 15% на дневна база при пасищното отглеждане в сравнение с оборното и пресмятането на увеличените разходи. В премийното изчисление са отразени и нарасналите разходи за труд при </w:t>
            </w:r>
            <w:r w:rsidR="00E10BD3" w:rsidRPr="00C9028A">
              <w:rPr>
                <w:rFonts w:ascii="Times New Roman" w:hAnsi="Times New Roman" w:cs="Times New Roman"/>
                <w:bCs/>
              </w:rPr>
              <w:t>пасищно</w:t>
            </w:r>
            <w:r w:rsidRPr="00C9028A">
              <w:rPr>
                <w:rFonts w:ascii="Times New Roman" w:hAnsi="Times New Roman" w:cs="Times New Roman"/>
                <w:bCs/>
              </w:rPr>
              <w:t xml:space="preserve"> отглеждане в сравнение с оборното, които същ</w:t>
            </w:r>
            <w:r w:rsidR="00E10BD3">
              <w:rPr>
                <w:rFonts w:ascii="Times New Roman" w:hAnsi="Times New Roman" w:cs="Times New Roman"/>
                <w:bCs/>
              </w:rPr>
              <w:t>о</w:t>
            </w:r>
            <w:r w:rsidRPr="00C9028A">
              <w:rPr>
                <w:rFonts w:ascii="Times New Roman" w:hAnsi="Times New Roman" w:cs="Times New Roman"/>
                <w:bCs/>
              </w:rPr>
              <w:t xml:space="preserve"> са инкорпорирани.  </w:t>
            </w:r>
          </w:p>
          <w:p w:rsidR="00211EE9" w:rsidRPr="00C9028A" w:rsidRDefault="00211EE9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B76E8" w:rsidRPr="00C9028A" w:rsidTr="001C53A3">
        <w:trPr>
          <w:trHeight w:val="223"/>
          <w:jc w:val="center"/>
        </w:trPr>
        <w:tc>
          <w:tcPr>
            <w:tcW w:w="424" w:type="dxa"/>
            <w:shd w:val="clear" w:color="auto" w:fill="auto"/>
            <w:vAlign w:val="center"/>
          </w:tcPr>
          <w:p w:rsidR="0031160C" w:rsidRPr="00C9028A" w:rsidRDefault="00211EE9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lastRenderedPageBreak/>
              <w:t>5</w:t>
            </w:r>
            <w:r w:rsidR="0031160C" w:rsidRPr="00C9028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1160C" w:rsidRPr="00C9028A" w:rsidRDefault="0031160C" w:rsidP="003116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8.2.13.5. „Специфична информация за мярката“</w:t>
            </w:r>
          </w:p>
        </w:tc>
        <w:tc>
          <w:tcPr>
            <w:tcW w:w="0" w:type="auto"/>
            <w:shd w:val="clear" w:color="auto" w:fill="auto"/>
          </w:tcPr>
          <w:p w:rsidR="0031160C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>Методологията е разработена от доц. д-р Божидар Иванов (Институт по аграрна икономика).</w:t>
            </w:r>
          </w:p>
          <w:p w:rsidR="0031160C" w:rsidRPr="00C9028A" w:rsidRDefault="0031160C" w:rsidP="003116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t xml:space="preserve">Подходът за изчисляване на премиите за хуманно отношение при говеда и дребен рогат добитък включва разработване на методология, която да изчисли пропуснатите ползи и допълнителните разходи за изпълнение на заложените дейности и изисквания. Референтният период на направените изчисления обхваща 3 годишен времеви хоризонт 2011-2013. Използвани са различни източници на информация, като основно това са официални данни на отдел „Агростатистика” на МЗХГ и специално счетоводните и икономически резултати за преживното животновъдство на СЗСИ. Към това трябва да се прибавят и публикувани данни от НСИ, основно отнасящи се до стойността на рентата и земята в България, както и информация за различните цени на животинска продукция. Поради спецификата на изследването и липсата </w:t>
            </w:r>
            <w:r w:rsidRPr="00C9028A">
              <w:rPr>
                <w:rFonts w:ascii="Times New Roman" w:hAnsi="Times New Roman" w:cs="Times New Roman"/>
                <w:bCs/>
              </w:rPr>
              <w:lastRenderedPageBreak/>
              <w:t>на данни за някои важни показатели участващи в изчисляването на брутните маржини са използвани и експертни оценки на браншовици и специалисти, които са заимствани от различни официални разработки. Справки са правени и с данни и спецификации предложени в научна, техническа и справочна литература, както и от научни разработки и изследвания правени от Институт по аграрна икономика по проект САРА (проект за създаване на Център за икономически изследвания в селското стопанство, като се занимава с разработване на модели за предвиждане средносрочното развитие на важни сектори в българското земеделие).</w:t>
            </w:r>
          </w:p>
        </w:tc>
        <w:tc>
          <w:tcPr>
            <w:tcW w:w="0" w:type="auto"/>
            <w:shd w:val="clear" w:color="auto" w:fill="auto"/>
          </w:tcPr>
          <w:p w:rsidR="001C53A3" w:rsidRPr="00C9028A" w:rsidRDefault="001C53A3" w:rsidP="001C5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9028A">
              <w:rPr>
                <w:rFonts w:ascii="Times New Roman" w:hAnsi="Times New Roman" w:cs="Times New Roman"/>
                <w:bCs/>
              </w:rPr>
              <w:lastRenderedPageBreak/>
              <w:t>Методологията е разработена от доц. д-р Божидар Иванов (Институт по аграрна икономика).</w:t>
            </w:r>
          </w:p>
          <w:p w:rsidR="0031160C" w:rsidRPr="00C9028A" w:rsidRDefault="001C53A3" w:rsidP="000B76E8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FF0000"/>
              </w:rPr>
            </w:pPr>
            <w:r w:rsidRPr="00C9028A">
              <w:rPr>
                <w:rFonts w:ascii="Times New Roman" w:hAnsi="Times New Roman" w:cs="Times New Roman"/>
                <w:bCs/>
              </w:rPr>
              <w:t xml:space="preserve">Подходът за изчисляване на премиите за хуманно отношение при говеда и дребен рогат добитък включва разработване на методология, която да изчисли пропуснатите ползи и допълнителните разходи за изпълнение на заложените дейности и изисквания. Референтният период на направените изчисления обхваща 3 годишен времеви хоризонт 2011-2013. </w:t>
            </w:r>
            <w:r w:rsidR="000B76E8" w:rsidRPr="000B76E8">
              <w:rPr>
                <w:rFonts w:ascii="Times New Roman" w:hAnsi="Times New Roman" w:cs="Times New Roman"/>
                <w:bCs/>
                <w:color w:val="FF0000"/>
              </w:rPr>
              <w:t>Извършено е преизчисление на премиите с референтен</w:t>
            </w:r>
            <w:r w:rsidR="000B76E8">
              <w:rPr>
                <w:rFonts w:ascii="Times New Roman" w:hAnsi="Times New Roman" w:cs="Times New Roman"/>
                <w:bCs/>
                <w:color w:val="FF0000"/>
              </w:rPr>
              <w:t xml:space="preserve"> период </w:t>
            </w:r>
            <w:r w:rsidR="00211EE9" w:rsidRPr="000B76E8">
              <w:rPr>
                <w:rFonts w:ascii="Times New Roman" w:hAnsi="Times New Roman" w:cs="Times New Roman"/>
                <w:bCs/>
                <w:color w:val="FF0000"/>
              </w:rPr>
              <w:t xml:space="preserve">2017-2019 г., </w:t>
            </w:r>
            <w:r w:rsidR="000B76E8" w:rsidRPr="000B76E8">
              <w:rPr>
                <w:rFonts w:ascii="Times New Roman" w:hAnsi="Times New Roman" w:cs="Times New Roman"/>
                <w:bCs/>
                <w:color w:val="FF0000"/>
              </w:rPr>
              <w:t>при което</w:t>
            </w:r>
            <w:r w:rsidR="00211EE9" w:rsidRPr="000B76E8">
              <w:rPr>
                <w:rFonts w:ascii="Times New Roman" w:hAnsi="Times New Roman" w:cs="Times New Roman"/>
                <w:bCs/>
                <w:color w:val="FF0000"/>
              </w:rPr>
              <w:t xml:space="preserve"> констатираните промени в пазарната и производствена среда в този период са съотнесени към периода 2011-2013 г</w:t>
            </w:r>
            <w:r w:rsidR="00211EE9" w:rsidRPr="00C9028A">
              <w:rPr>
                <w:rFonts w:ascii="Times New Roman" w:hAnsi="Times New Roman" w:cs="Times New Roman"/>
                <w:bCs/>
                <w:color w:val="FF0000"/>
              </w:rPr>
              <w:t>.</w:t>
            </w:r>
            <w:r w:rsidR="000B76E8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C9028A">
              <w:rPr>
                <w:rFonts w:ascii="Times New Roman" w:hAnsi="Times New Roman" w:cs="Times New Roman"/>
                <w:bCs/>
              </w:rPr>
              <w:t xml:space="preserve">Използвани са различни източници на информация, като основно това са официални данни на отдел „Агростатистика” на МЗХГ и специално счетоводните и икономически резултати за преживното животновъдство на СЗСИ. Към това трябва да се прибавят и публикувани </w:t>
            </w:r>
            <w:r w:rsidRPr="00C9028A">
              <w:rPr>
                <w:rFonts w:ascii="Times New Roman" w:hAnsi="Times New Roman" w:cs="Times New Roman"/>
                <w:bCs/>
              </w:rPr>
              <w:lastRenderedPageBreak/>
              <w:t>данни от НСИ, основно отнасящи се до стойността на рентата и земята в България, както и информация за различните цени на животинска продукция. Поради спецификата на изследването и липсата на данни за някои важни показатели участващи в изчисляването на брутните маржини са използвани и експертни оценки на браншовици и специалисти, които са заимствани от различни официални разработки. Справки са правени и с данни и спецификации предложени в научна, техническа и справочна литература, както и от научни разработки и изследвания правени от Институт по аграрна икономика по проект САРА (проект за създаване на Център за икономически изследвания в селското стопанство, като се занимава с разработване на модели за предвиждане средносрочното развитие на важни сектори в българското земеделие).</w:t>
            </w:r>
          </w:p>
        </w:tc>
      </w:tr>
    </w:tbl>
    <w:p w:rsidR="000122FA" w:rsidRPr="00C9028A" w:rsidRDefault="000122FA" w:rsidP="004E1EF9">
      <w:pPr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0122FA" w:rsidRPr="00C9028A" w:rsidSect="00E569DB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ABA" w:rsidRDefault="00C31ABA" w:rsidP="0039528E">
      <w:pPr>
        <w:spacing w:after="0" w:line="240" w:lineRule="auto"/>
      </w:pPr>
      <w:r>
        <w:separator/>
      </w:r>
    </w:p>
  </w:endnote>
  <w:endnote w:type="continuationSeparator" w:id="0">
    <w:p w:rsidR="00C31ABA" w:rsidRDefault="00C31ABA" w:rsidP="0039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6343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528E" w:rsidRDefault="0039528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78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528E" w:rsidRDefault="003952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ABA" w:rsidRDefault="00C31ABA" w:rsidP="0039528E">
      <w:pPr>
        <w:spacing w:after="0" w:line="240" w:lineRule="auto"/>
      </w:pPr>
      <w:r>
        <w:separator/>
      </w:r>
    </w:p>
  </w:footnote>
  <w:footnote w:type="continuationSeparator" w:id="0">
    <w:p w:rsidR="00C31ABA" w:rsidRDefault="00C31ABA" w:rsidP="00395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F12C3"/>
    <w:multiLevelType w:val="hybridMultilevel"/>
    <w:tmpl w:val="D60AE8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2335E"/>
    <w:multiLevelType w:val="hybridMultilevel"/>
    <w:tmpl w:val="9F6ECE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22B24"/>
    <w:multiLevelType w:val="hybridMultilevel"/>
    <w:tmpl w:val="6FFC7D8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1BD6102"/>
    <w:multiLevelType w:val="hybridMultilevel"/>
    <w:tmpl w:val="929E487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4C3702"/>
    <w:multiLevelType w:val="hybridMultilevel"/>
    <w:tmpl w:val="03BEE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1E6367"/>
    <w:multiLevelType w:val="hybridMultilevel"/>
    <w:tmpl w:val="DE24C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436603"/>
    <w:multiLevelType w:val="multilevel"/>
    <w:tmpl w:val="A09AD310"/>
    <w:numStyleLink w:val="Headings"/>
  </w:abstractNum>
  <w:abstractNum w:abstractNumId="7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8">
    <w:nsid w:val="555C0274"/>
    <w:multiLevelType w:val="hybridMultilevel"/>
    <w:tmpl w:val="87ECF7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594894"/>
    <w:multiLevelType w:val="multilevel"/>
    <w:tmpl w:val="A09AD310"/>
    <w:styleLink w:val="Headings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426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>
    <w:nsid w:val="5ADB40C6"/>
    <w:multiLevelType w:val="hybridMultilevel"/>
    <w:tmpl w:val="6E680F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C73573"/>
    <w:multiLevelType w:val="hybridMultilevel"/>
    <w:tmpl w:val="7A0C7C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046564"/>
    <w:multiLevelType w:val="hybridMultilevel"/>
    <w:tmpl w:val="11C4C9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230544"/>
    <w:multiLevelType w:val="hybridMultilevel"/>
    <w:tmpl w:val="72230544"/>
    <w:lvl w:ilvl="0" w:tplc="2F345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9ADD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FC63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DA4D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407D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582D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4CB7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80A0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9840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>
    <w:nsid w:val="75557DEC"/>
    <w:multiLevelType w:val="hybridMultilevel"/>
    <w:tmpl w:val="96DCE31C"/>
    <w:lvl w:ilvl="0" w:tplc="A9AEEA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0"/>
  </w:num>
  <w:num w:numId="5">
    <w:abstractNumId w:val="1"/>
  </w:num>
  <w:num w:numId="6">
    <w:abstractNumId w:val="12"/>
  </w:num>
  <w:num w:numId="7">
    <w:abstractNumId w:val="3"/>
  </w:num>
  <w:num w:numId="8">
    <w:abstractNumId w:val="2"/>
  </w:num>
  <w:num w:numId="9">
    <w:abstractNumId w:val="0"/>
  </w:num>
  <w:num w:numId="10">
    <w:abstractNumId w:val="8"/>
  </w:num>
  <w:num w:numId="11">
    <w:abstractNumId w:val="9"/>
  </w:num>
  <w:num w:numId="12">
    <w:abstractNumId w:val="6"/>
  </w:num>
  <w:num w:numId="13">
    <w:abstractNumId w:val="7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4D"/>
    <w:rsid w:val="00003C3C"/>
    <w:rsid w:val="000122FA"/>
    <w:rsid w:val="00036592"/>
    <w:rsid w:val="00044429"/>
    <w:rsid w:val="0005699F"/>
    <w:rsid w:val="00060D89"/>
    <w:rsid w:val="00061E68"/>
    <w:rsid w:val="00063202"/>
    <w:rsid w:val="00070D87"/>
    <w:rsid w:val="000711F8"/>
    <w:rsid w:val="0009360E"/>
    <w:rsid w:val="000B76E8"/>
    <w:rsid w:val="000C3494"/>
    <w:rsid w:val="000E14E8"/>
    <w:rsid w:val="000F3B34"/>
    <w:rsid w:val="00120F75"/>
    <w:rsid w:val="001464C8"/>
    <w:rsid w:val="0015310C"/>
    <w:rsid w:val="00160072"/>
    <w:rsid w:val="00173D23"/>
    <w:rsid w:val="00183E77"/>
    <w:rsid w:val="00191996"/>
    <w:rsid w:val="00197658"/>
    <w:rsid w:val="001979B8"/>
    <w:rsid w:val="00197C14"/>
    <w:rsid w:val="001B4D18"/>
    <w:rsid w:val="001B7899"/>
    <w:rsid w:val="001C2353"/>
    <w:rsid w:val="001C53A3"/>
    <w:rsid w:val="001E2C3D"/>
    <w:rsid w:val="001E47ED"/>
    <w:rsid w:val="0021024C"/>
    <w:rsid w:val="00211EE9"/>
    <w:rsid w:val="00213A9E"/>
    <w:rsid w:val="0021565A"/>
    <w:rsid w:val="00232F4B"/>
    <w:rsid w:val="002460F2"/>
    <w:rsid w:val="002515EF"/>
    <w:rsid w:val="00266328"/>
    <w:rsid w:val="0027034C"/>
    <w:rsid w:val="00280287"/>
    <w:rsid w:val="002823CE"/>
    <w:rsid w:val="002B015A"/>
    <w:rsid w:val="002B4FE9"/>
    <w:rsid w:val="002C104E"/>
    <w:rsid w:val="002C535D"/>
    <w:rsid w:val="002D22B4"/>
    <w:rsid w:val="002D6FB1"/>
    <w:rsid w:val="002E48CC"/>
    <w:rsid w:val="002F1106"/>
    <w:rsid w:val="002F5A0C"/>
    <w:rsid w:val="00310593"/>
    <w:rsid w:val="0031160C"/>
    <w:rsid w:val="00313A15"/>
    <w:rsid w:val="003166E8"/>
    <w:rsid w:val="003244A8"/>
    <w:rsid w:val="00330392"/>
    <w:rsid w:val="003336D4"/>
    <w:rsid w:val="00336FB3"/>
    <w:rsid w:val="0036069A"/>
    <w:rsid w:val="0036215D"/>
    <w:rsid w:val="0036670C"/>
    <w:rsid w:val="00375CC7"/>
    <w:rsid w:val="003826E1"/>
    <w:rsid w:val="00385A3E"/>
    <w:rsid w:val="00393D91"/>
    <w:rsid w:val="0039528E"/>
    <w:rsid w:val="003A167C"/>
    <w:rsid w:val="003B08E8"/>
    <w:rsid w:val="003D557F"/>
    <w:rsid w:val="003E081A"/>
    <w:rsid w:val="003E42F5"/>
    <w:rsid w:val="00416AED"/>
    <w:rsid w:val="00425577"/>
    <w:rsid w:val="00430560"/>
    <w:rsid w:val="004352A2"/>
    <w:rsid w:val="004478E1"/>
    <w:rsid w:val="004524AA"/>
    <w:rsid w:val="00453250"/>
    <w:rsid w:val="004625BF"/>
    <w:rsid w:val="004675A7"/>
    <w:rsid w:val="00475F00"/>
    <w:rsid w:val="00493A1F"/>
    <w:rsid w:val="004A18FA"/>
    <w:rsid w:val="004B06DD"/>
    <w:rsid w:val="004D0705"/>
    <w:rsid w:val="004D1BF8"/>
    <w:rsid w:val="004D6C6F"/>
    <w:rsid w:val="004E1EF9"/>
    <w:rsid w:val="004F75B3"/>
    <w:rsid w:val="005562ED"/>
    <w:rsid w:val="00560F36"/>
    <w:rsid w:val="00561E0F"/>
    <w:rsid w:val="00562325"/>
    <w:rsid w:val="005A3F03"/>
    <w:rsid w:val="005B499D"/>
    <w:rsid w:val="005E3DB0"/>
    <w:rsid w:val="005E49D7"/>
    <w:rsid w:val="005E7479"/>
    <w:rsid w:val="00627292"/>
    <w:rsid w:val="00630349"/>
    <w:rsid w:val="0063062D"/>
    <w:rsid w:val="0064362D"/>
    <w:rsid w:val="00655BCB"/>
    <w:rsid w:val="00657887"/>
    <w:rsid w:val="0066335D"/>
    <w:rsid w:val="00666E06"/>
    <w:rsid w:val="00670390"/>
    <w:rsid w:val="00670E30"/>
    <w:rsid w:val="00677CDC"/>
    <w:rsid w:val="00685AB3"/>
    <w:rsid w:val="006C2CC4"/>
    <w:rsid w:val="006C64F8"/>
    <w:rsid w:val="006E59D6"/>
    <w:rsid w:val="00700A06"/>
    <w:rsid w:val="00706595"/>
    <w:rsid w:val="00716F43"/>
    <w:rsid w:val="0071757C"/>
    <w:rsid w:val="00722FAC"/>
    <w:rsid w:val="00736BCB"/>
    <w:rsid w:val="00737EC3"/>
    <w:rsid w:val="00740A03"/>
    <w:rsid w:val="00745977"/>
    <w:rsid w:val="00752182"/>
    <w:rsid w:val="00754DE6"/>
    <w:rsid w:val="00756858"/>
    <w:rsid w:val="00760415"/>
    <w:rsid w:val="00766717"/>
    <w:rsid w:val="007813C7"/>
    <w:rsid w:val="0078287A"/>
    <w:rsid w:val="00794EFF"/>
    <w:rsid w:val="007B08E2"/>
    <w:rsid w:val="007C0BE3"/>
    <w:rsid w:val="007F4CB0"/>
    <w:rsid w:val="008042E0"/>
    <w:rsid w:val="00815796"/>
    <w:rsid w:val="008210F0"/>
    <w:rsid w:val="00834550"/>
    <w:rsid w:val="0084626A"/>
    <w:rsid w:val="00860DFD"/>
    <w:rsid w:val="00875488"/>
    <w:rsid w:val="008A3DF4"/>
    <w:rsid w:val="008A53B2"/>
    <w:rsid w:val="008C3E3D"/>
    <w:rsid w:val="008C74E1"/>
    <w:rsid w:val="008E611B"/>
    <w:rsid w:val="0090435C"/>
    <w:rsid w:val="00904550"/>
    <w:rsid w:val="0092390C"/>
    <w:rsid w:val="00924D30"/>
    <w:rsid w:val="00933800"/>
    <w:rsid w:val="00953D4C"/>
    <w:rsid w:val="00975E54"/>
    <w:rsid w:val="00982E05"/>
    <w:rsid w:val="0099406E"/>
    <w:rsid w:val="009B7211"/>
    <w:rsid w:val="009C7F38"/>
    <w:rsid w:val="009D6EF7"/>
    <w:rsid w:val="009F0F8C"/>
    <w:rsid w:val="00A15DCD"/>
    <w:rsid w:val="00A212F8"/>
    <w:rsid w:val="00A21546"/>
    <w:rsid w:val="00A22E1B"/>
    <w:rsid w:val="00A546C4"/>
    <w:rsid w:val="00A6435B"/>
    <w:rsid w:val="00A77AB3"/>
    <w:rsid w:val="00A81476"/>
    <w:rsid w:val="00A907B0"/>
    <w:rsid w:val="00AA1712"/>
    <w:rsid w:val="00AD014F"/>
    <w:rsid w:val="00AD1CB7"/>
    <w:rsid w:val="00AF33E8"/>
    <w:rsid w:val="00AF50B3"/>
    <w:rsid w:val="00B01AE9"/>
    <w:rsid w:val="00B063C3"/>
    <w:rsid w:val="00B1393B"/>
    <w:rsid w:val="00B15518"/>
    <w:rsid w:val="00B175ED"/>
    <w:rsid w:val="00B212A5"/>
    <w:rsid w:val="00B318D7"/>
    <w:rsid w:val="00B32F4D"/>
    <w:rsid w:val="00B4444C"/>
    <w:rsid w:val="00B518F2"/>
    <w:rsid w:val="00B636D1"/>
    <w:rsid w:val="00B65D08"/>
    <w:rsid w:val="00B669EE"/>
    <w:rsid w:val="00B721CE"/>
    <w:rsid w:val="00B8456B"/>
    <w:rsid w:val="00BA125A"/>
    <w:rsid w:val="00BB0FE0"/>
    <w:rsid w:val="00BB10AE"/>
    <w:rsid w:val="00BB15F5"/>
    <w:rsid w:val="00BC0D6C"/>
    <w:rsid w:val="00BC3B9D"/>
    <w:rsid w:val="00BD6725"/>
    <w:rsid w:val="00BE28A5"/>
    <w:rsid w:val="00BF5889"/>
    <w:rsid w:val="00C23E3F"/>
    <w:rsid w:val="00C31ABA"/>
    <w:rsid w:val="00C3605E"/>
    <w:rsid w:val="00C50A58"/>
    <w:rsid w:val="00C50D83"/>
    <w:rsid w:val="00C61047"/>
    <w:rsid w:val="00C9028A"/>
    <w:rsid w:val="00C95F78"/>
    <w:rsid w:val="00CC361C"/>
    <w:rsid w:val="00CD60E9"/>
    <w:rsid w:val="00CE3DB8"/>
    <w:rsid w:val="00CE714D"/>
    <w:rsid w:val="00CF0AD8"/>
    <w:rsid w:val="00CF26DB"/>
    <w:rsid w:val="00D22427"/>
    <w:rsid w:val="00D36B33"/>
    <w:rsid w:val="00D3789A"/>
    <w:rsid w:val="00D40B7E"/>
    <w:rsid w:val="00D62E35"/>
    <w:rsid w:val="00D631BE"/>
    <w:rsid w:val="00D634CE"/>
    <w:rsid w:val="00D83AF4"/>
    <w:rsid w:val="00DA1AAD"/>
    <w:rsid w:val="00DA5B13"/>
    <w:rsid w:val="00DD7513"/>
    <w:rsid w:val="00DD7EB0"/>
    <w:rsid w:val="00DF3258"/>
    <w:rsid w:val="00E00519"/>
    <w:rsid w:val="00E02E16"/>
    <w:rsid w:val="00E04B7A"/>
    <w:rsid w:val="00E103AE"/>
    <w:rsid w:val="00E10BD3"/>
    <w:rsid w:val="00E20BCE"/>
    <w:rsid w:val="00E35D69"/>
    <w:rsid w:val="00E465B1"/>
    <w:rsid w:val="00E54411"/>
    <w:rsid w:val="00E569DB"/>
    <w:rsid w:val="00E63197"/>
    <w:rsid w:val="00E733F8"/>
    <w:rsid w:val="00E8034B"/>
    <w:rsid w:val="00E868AC"/>
    <w:rsid w:val="00E90E12"/>
    <w:rsid w:val="00EA148A"/>
    <w:rsid w:val="00EA398A"/>
    <w:rsid w:val="00EC24D3"/>
    <w:rsid w:val="00ED0477"/>
    <w:rsid w:val="00ED4586"/>
    <w:rsid w:val="00EE601E"/>
    <w:rsid w:val="00F047D0"/>
    <w:rsid w:val="00F16665"/>
    <w:rsid w:val="00F35A75"/>
    <w:rsid w:val="00F44947"/>
    <w:rsid w:val="00F52022"/>
    <w:rsid w:val="00F547D0"/>
    <w:rsid w:val="00F633A5"/>
    <w:rsid w:val="00F74F92"/>
    <w:rsid w:val="00F87569"/>
    <w:rsid w:val="00FA1097"/>
    <w:rsid w:val="00FA3049"/>
    <w:rsid w:val="00FE1120"/>
    <w:rsid w:val="00FE5246"/>
    <w:rsid w:val="00FF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F9"/>
  </w:style>
  <w:style w:type="paragraph" w:styleId="1">
    <w:name w:val="heading 1"/>
    <w:basedOn w:val="a"/>
    <w:next w:val="a"/>
    <w:link w:val="10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2">
    <w:name w:val="heading 2"/>
    <w:basedOn w:val="1"/>
    <w:next w:val="a"/>
    <w:link w:val="20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3">
    <w:name w:val="heading 3"/>
    <w:basedOn w:val="2"/>
    <w:next w:val="a"/>
    <w:link w:val="30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4">
    <w:name w:val="heading 4"/>
    <w:basedOn w:val="3"/>
    <w:next w:val="a"/>
    <w:link w:val="40"/>
    <w:qFormat/>
    <w:rsid w:val="00D3789A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6">
    <w:name w:val="heading 6"/>
    <w:basedOn w:val="5"/>
    <w:next w:val="a"/>
    <w:link w:val="60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7">
    <w:name w:val="heading 7"/>
    <w:basedOn w:val="6"/>
    <w:next w:val="a"/>
    <w:link w:val="70"/>
    <w:qFormat/>
    <w:rsid w:val="00D3789A"/>
    <w:pPr>
      <w:numPr>
        <w:ilvl w:val="6"/>
      </w:numPr>
      <w:outlineLvl w:val="6"/>
    </w:pPr>
    <w:rPr>
      <w:i/>
    </w:rPr>
  </w:style>
  <w:style w:type="paragraph" w:styleId="8">
    <w:name w:val="heading 8"/>
    <w:basedOn w:val="7"/>
    <w:next w:val="a"/>
    <w:link w:val="80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9">
    <w:name w:val="heading 9"/>
    <w:basedOn w:val="8"/>
    <w:next w:val="a"/>
    <w:link w:val="90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26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39528E"/>
  </w:style>
  <w:style w:type="paragraph" w:styleId="a7">
    <w:name w:val="footer"/>
    <w:basedOn w:val="a"/>
    <w:link w:val="a8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39528E"/>
  </w:style>
  <w:style w:type="character" w:customStyle="1" w:styleId="10">
    <w:name w:val="Заглавие 1 Знак"/>
    <w:basedOn w:val="a0"/>
    <w:link w:val="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20">
    <w:name w:val="Заглавие 2 Знак"/>
    <w:basedOn w:val="a0"/>
    <w:link w:val="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30">
    <w:name w:val="Заглавие 3 Знак"/>
    <w:basedOn w:val="a0"/>
    <w:link w:val="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40">
    <w:name w:val="Заглавие 4 Знак"/>
    <w:basedOn w:val="a0"/>
    <w:link w:val="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50">
    <w:name w:val="Заглавие 5 Знак"/>
    <w:basedOn w:val="a0"/>
    <w:link w:val="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60">
    <w:name w:val="Заглавие 6 Знак"/>
    <w:basedOn w:val="a0"/>
    <w:link w:val="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70">
    <w:name w:val="Заглавие 7 Знак"/>
    <w:basedOn w:val="a0"/>
    <w:link w:val="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80">
    <w:name w:val="Заглавие 8 Знак"/>
    <w:basedOn w:val="a0"/>
    <w:link w:val="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90">
    <w:name w:val="Заглавие 9 Знак"/>
    <w:basedOn w:val="a0"/>
    <w:link w:val="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a9">
    <w:name w:val="Balloon Text"/>
    <w:basedOn w:val="a"/>
    <w:link w:val="aa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a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b">
    <w:name w:val="Body Text"/>
    <w:basedOn w:val="a"/>
    <w:link w:val="ac"/>
    <w:rsid w:val="001C53A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c">
    <w:name w:val="Основен текст Знак"/>
    <w:basedOn w:val="a0"/>
    <w:link w:val="ab"/>
    <w:rsid w:val="001C53A3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F9"/>
  </w:style>
  <w:style w:type="paragraph" w:styleId="1">
    <w:name w:val="heading 1"/>
    <w:basedOn w:val="a"/>
    <w:next w:val="a"/>
    <w:link w:val="10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2">
    <w:name w:val="heading 2"/>
    <w:basedOn w:val="1"/>
    <w:next w:val="a"/>
    <w:link w:val="20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3">
    <w:name w:val="heading 3"/>
    <w:basedOn w:val="2"/>
    <w:next w:val="a"/>
    <w:link w:val="30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4">
    <w:name w:val="heading 4"/>
    <w:basedOn w:val="3"/>
    <w:next w:val="a"/>
    <w:link w:val="40"/>
    <w:qFormat/>
    <w:rsid w:val="00D3789A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6">
    <w:name w:val="heading 6"/>
    <w:basedOn w:val="5"/>
    <w:next w:val="a"/>
    <w:link w:val="60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7">
    <w:name w:val="heading 7"/>
    <w:basedOn w:val="6"/>
    <w:next w:val="a"/>
    <w:link w:val="70"/>
    <w:qFormat/>
    <w:rsid w:val="00D3789A"/>
    <w:pPr>
      <w:numPr>
        <w:ilvl w:val="6"/>
      </w:numPr>
      <w:outlineLvl w:val="6"/>
    </w:pPr>
    <w:rPr>
      <w:i/>
    </w:rPr>
  </w:style>
  <w:style w:type="paragraph" w:styleId="8">
    <w:name w:val="heading 8"/>
    <w:basedOn w:val="7"/>
    <w:next w:val="a"/>
    <w:link w:val="80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9">
    <w:name w:val="heading 9"/>
    <w:basedOn w:val="8"/>
    <w:next w:val="a"/>
    <w:link w:val="90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26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39528E"/>
  </w:style>
  <w:style w:type="paragraph" w:styleId="a7">
    <w:name w:val="footer"/>
    <w:basedOn w:val="a"/>
    <w:link w:val="a8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39528E"/>
  </w:style>
  <w:style w:type="character" w:customStyle="1" w:styleId="10">
    <w:name w:val="Заглавие 1 Знак"/>
    <w:basedOn w:val="a0"/>
    <w:link w:val="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20">
    <w:name w:val="Заглавие 2 Знак"/>
    <w:basedOn w:val="a0"/>
    <w:link w:val="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30">
    <w:name w:val="Заглавие 3 Знак"/>
    <w:basedOn w:val="a0"/>
    <w:link w:val="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40">
    <w:name w:val="Заглавие 4 Знак"/>
    <w:basedOn w:val="a0"/>
    <w:link w:val="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50">
    <w:name w:val="Заглавие 5 Знак"/>
    <w:basedOn w:val="a0"/>
    <w:link w:val="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60">
    <w:name w:val="Заглавие 6 Знак"/>
    <w:basedOn w:val="a0"/>
    <w:link w:val="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70">
    <w:name w:val="Заглавие 7 Знак"/>
    <w:basedOn w:val="a0"/>
    <w:link w:val="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80">
    <w:name w:val="Заглавие 8 Знак"/>
    <w:basedOn w:val="a0"/>
    <w:link w:val="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90">
    <w:name w:val="Заглавие 9 Знак"/>
    <w:basedOn w:val="a0"/>
    <w:link w:val="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a9">
    <w:name w:val="Balloon Text"/>
    <w:basedOn w:val="a"/>
    <w:link w:val="aa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a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b">
    <w:name w:val="Body Text"/>
    <w:basedOn w:val="a"/>
    <w:link w:val="ac"/>
    <w:rsid w:val="001C53A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c">
    <w:name w:val="Основен текст Знак"/>
    <w:basedOn w:val="a0"/>
    <w:link w:val="ab"/>
    <w:rsid w:val="001C53A3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4E5E2-3785-45D9-B938-F4E974A03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1973</Words>
  <Characters>11249</Characters>
  <Application>Microsoft Office Word</Application>
  <DocSecurity>0</DocSecurity>
  <Lines>93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PC</cp:lastModifiedBy>
  <cp:revision>2</cp:revision>
  <cp:lastPrinted>2019-10-23T13:22:00Z</cp:lastPrinted>
  <dcterms:created xsi:type="dcterms:W3CDTF">2020-12-09T16:01:00Z</dcterms:created>
  <dcterms:modified xsi:type="dcterms:W3CDTF">2020-12-09T16:01:00Z</dcterms:modified>
</cp:coreProperties>
</file>